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377DA977" w:rsidR="008B4556" w:rsidRPr="006376ED" w:rsidRDefault="00C657D1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1870D52A" w:rsidR="008B4556" w:rsidRPr="006376ED" w:rsidRDefault="00387C80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05977CA4" w:rsidR="001A1A87" w:rsidRPr="006376ED" w:rsidRDefault="001A1A87" w:rsidP="00387C8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387C80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Sonja </w:t>
            </w:r>
            <w:proofErr w:type="spellStart"/>
            <w:r w:rsidR="00387C80">
              <w:rPr>
                <w:rFonts w:ascii="Candara" w:hAnsi="Candara"/>
                <w:iCs/>
                <w:color w:val="FF5050"/>
                <w:sz w:val="22"/>
                <w:szCs w:val="22"/>
              </w:rPr>
              <w:t>Smolec</w:t>
            </w:r>
            <w:proofErr w:type="spellEnd"/>
            <w:r w:rsidR="00FF5B6D" w:rsidRPr="006376E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387C80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Samo joj budi prijatelj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74B648" w14:textId="59169E58" w:rsidR="00CF1A1A" w:rsidRPr="00387C80" w:rsidRDefault="00CF1A1A" w:rsidP="00387C80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87C8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A.7.1. Učenik obrazlaže vlastito mišljenje i stajalište o razl</w:t>
            </w:r>
            <w:r w:rsidR="00387C80" w:rsidRPr="00387C8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ičitim temama u skladu s dobi i</w:t>
            </w:r>
            <w:r w:rsidRPr="00387C8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vlastitim iskustvom.</w:t>
            </w:r>
          </w:p>
          <w:p w14:paraId="3E160425" w14:textId="64B62D9B" w:rsidR="00CF1A1A" w:rsidRPr="00387C80" w:rsidRDefault="00CF1A1A" w:rsidP="00387C80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87C8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B.7.1. Učenik vrednuje književni tekst tumačeći utjecaj književnoga teksta na oblikovanje</w:t>
            </w:r>
            <w:r w:rsidR="00387C80" w:rsidRPr="00387C8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387C8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stavova i vrijednosti; obrazlaže etičku i idejnu razinu književnoga teksta.</w:t>
            </w:r>
          </w:p>
          <w:p w14:paraId="6DA9DA1A" w14:textId="3DFB07AF" w:rsidR="00CF1A1A" w:rsidRPr="00387C80" w:rsidRDefault="00CF1A1A" w:rsidP="00387C80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87C8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B.7.2. Učenik tumači književni tekst na temelju čitateljskoga iskustva primjenjujući znanja</w:t>
            </w:r>
          </w:p>
          <w:p w14:paraId="6933C4D9" w14:textId="6626C898" w:rsidR="00D96934" w:rsidRPr="00387C80" w:rsidRDefault="00CF1A1A" w:rsidP="00387C80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87C8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695EADEC" w:rsidR="00D96934" w:rsidRPr="00D96934" w:rsidRDefault="00D96934" w:rsidP="00387C80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temu književnoga teksta i </w:t>
            </w:r>
            <w:r w:rsidR="00F519F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izriče je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jednoj rečenici.</w:t>
            </w:r>
          </w:p>
          <w:p w14:paraId="79ED5FAB" w14:textId="76BBE9B8" w:rsidR="00061CE5" w:rsidRPr="00387C80" w:rsidRDefault="00387C80" w:rsidP="00387C80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Karakterizira lik navodeći pojedinosti koje pripadaju psihološkoj karakterizaciji lika.</w:t>
            </w:r>
          </w:p>
          <w:p w14:paraId="220220BF" w14:textId="532FDFFA" w:rsidR="00387C80" w:rsidRPr="009B1564" w:rsidRDefault="00387C80" w:rsidP="00387C80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ulogu stilskih izražajnih sredstava u vanjskom opisu lika.</w:t>
            </w:r>
          </w:p>
          <w:p w14:paraId="3BE13ADC" w14:textId="0509A990" w:rsidR="00061CE5" w:rsidRPr="00D96934" w:rsidRDefault="00061CE5" w:rsidP="00387C80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39D1506D" w14:textId="77777777" w:rsidR="006133E1" w:rsidRDefault="00CD062E" w:rsidP="00387C8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</w:t>
            </w:r>
            <w:r w:rsidR="00387C8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komentirati problem o kojemu </w:t>
            </w:r>
          </w:p>
          <w:p w14:paraId="5346DBC1" w14:textId="77777777" w:rsidR="006133E1" w:rsidRDefault="006133E1" w:rsidP="00387C8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="00387C8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književni tekst govori, karakterizirati likove na temelj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 njihova govora i postupaka, izdvajati osobine</w:t>
            </w:r>
          </w:p>
          <w:p w14:paraId="3873D622" w14:textId="47E95867" w:rsidR="00CD062E" w:rsidRPr="00942CDA" w:rsidRDefault="006133E1" w:rsidP="00387C8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likova koje pripadaju psihološkoj karakterizaciji lika</w:t>
            </w:r>
          </w:p>
          <w:p w14:paraId="0A89BC5A" w14:textId="77777777" w:rsidR="006133E1" w:rsidRDefault="00CD062E" w:rsidP="006133E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ovezati 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jiževnoga</w:t>
            </w:r>
            <w:r w:rsidR="009B156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teksta sa stvarnošću komentirajući </w:t>
            </w:r>
            <w:r w:rsidR="006133E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situaciju u kojoj se našla Ema i</w:t>
            </w:r>
          </w:p>
          <w:p w14:paraId="1CCC5598" w14:textId="5C1E3830" w:rsidR="00CD062E" w:rsidRPr="002110F1" w:rsidRDefault="00F57091" w:rsidP="006133E1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povezujući ju</w:t>
            </w:r>
            <w:r w:rsidR="006133E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 vlastitim saznanjima o porem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ećajima u prehrani koji se</w:t>
            </w:r>
            <w:r w:rsidR="00F519F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javljaju u</w:t>
            </w:r>
            <w:r w:rsidR="006133E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mladih</w:t>
            </w:r>
          </w:p>
          <w:p w14:paraId="5B83BE1C" w14:textId="4B594BDE" w:rsidR="00CD062E" w:rsidRDefault="00CD062E" w:rsidP="006133E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izdvojiti </w:t>
            </w:r>
            <w:r w:rsidR="006133E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 komentirati 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postupke kojima </w:t>
            </w:r>
            <w:r w:rsidR="006133E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Igor pokušava pomoći Emi </w:t>
            </w:r>
          </w:p>
          <w:p w14:paraId="42BADF1D" w14:textId="0B860E62" w:rsidR="00D96934" w:rsidRDefault="00CD062E" w:rsidP="006133E1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objasniti </w:t>
            </w:r>
            <w:r w:rsidR="009B1564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zašto </w:t>
            </w:r>
            <w:r w:rsidR="006133E1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je važno voditi računa o pravilnoj prehrani te na koji način ona pridonosi zdravlju</w:t>
            </w:r>
          </w:p>
          <w:p w14:paraId="197A4C22" w14:textId="77777777" w:rsidR="006133E1" w:rsidRDefault="00CD062E" w:rsidP="006133E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komunikacijske vj</w:t>
            </w:r>
            <w:r w:rsidR="00F339D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eštine iznoseći svoja iskustva u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6133E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problemima s kojima se mladi suočavaju, a </w:t>
            </w:r>
          </w:p>
          <w:p w14:paraId="59ECF9D0" w14:textId="77777777" w:rsidR="006133E1" w:rsidRDefault="006133E1" w:rsidP="006133E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koji mogu dovesti do poremećaja u prehrani, te osobama kojima se trebaju obratiti kako bi svladali </w:t>
            </w:r>
          </w:p>
          <w:p w14:paraId="0499851E" w14:textId="7A223191" w:rsidR="00CD062E" w:rsidRPr="00061CE5" w:rsidRDefault="006133E1" w:rsidP="006133E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probleme i poteškoće na koje nailaze tijekom odrastanja.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61D0340" w14:textId="03FA0094" w:rsidR="00A776F0" w:rsidRPr="006133E1" w:rsidRDefault="00864ED2" w:rsidP="00864ED2">
            <w:pPr>
              <w:pStyle w:val="NoSpacing"/>
              <w:spacing w:line="276" w:lineRule="auto"/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razgovaramo s učenicima o </w:t>
            </w:r>
            <w:r w:rsidR="006133E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tome kako postupaju kad se suoče s problemom koji ne mogu riješiti. Potičemo ih na razgovor pitanjima: </w:t>
            </w:r>
            <w:r w:rsidR="006133E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Komu se u toj situaciji obraćaš? Na koji ti način ta osoba pomaže?</w:t>
            </w:r>
          </w:p>
          <w:p w14:paraId="3CFE5A38" w14:textId="0E5E71F7" w:rsidR="006133E1" w:rsidRPr="006133E1" w:rsidRDefault="006133E1" w:rsidP="00864ED2">
            <w:pPr>
              <w:pStyle w:val="NoSpacing"/>
              <w:spacing w:line="276" w:lineRule="auto"/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</w:pPr>
            <w:r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 xml:space="preserve">Ako ulomkom iz romana Sonje </w:t>
            </w:r>
            <w:proofErr w:type="spellStart"/>
            <w:r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>Smolec</w:t>
            </w:r>
            <w:proofErr w:type="spellEnd"/>
            <w:r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 xml:space="preserve"> želimo obilježiti Svjetski dan zdravlja (7. travnja)</w:t>
            </w:r>
            <w:r w:rsidR="00F519F3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>,</w:t>
            </w:r>
            <w:r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 xml:space="preserve"> kao motivacija može poslužiti bilješka o tome danu na 109. stranici. Nakon što pročitamo bilješku učenike potičemo na razgovor o tome kako se oni brinu o svojemu zdravlju i što ta briga uključuje.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E655A3" w14:textId="279C77B6" w:rsidR="0089704A" w:rsidRDefault="0089704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8A95291" w14:textId="77777777" w:rsidR="0089704A" w:rsidRDefault="0089704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D7DC55" w14:textId="52D14929" w:rsidR="00A776F0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41F0847C" w14:textId="77777777" w:rsidR="0089704A" w:rsidRDefault="0089704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53CC69F" w14:textId="77777777" w:rsidR="0089704A" w:rsidRPr="006376ED" w:rsidRDefault="0089704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137EA45F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6133E1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Objašnjenje nepoznatih riječi.</w:t>
            </w:r>
          </w:p>
          <w:p w14:paraId="6A754EFD" w14:textId="432132FC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6133E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dio.</w:t>
            </w:r>
          </w:p>
          <w:p w14:paraId="31642FEE" w14:textId="5C97F36F" w:rsidR="00A776F0" w:rsidRPr="007C2947" w:rsidRDefault="003B6991" w:rsidP="003B6991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</w:t>
            </w:r>
            <w:r w:rsidR="007C294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situaciji u kojoj se </w:t>
            </w:r>
            <w:r w:rsidR="0089704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našao Igor kad mu je prijateljica Ema povjerila da se liječi od anoreksije. Objašnjavaju zašto je Igor dobro postupio kad je s majkom razgovarao o Eminu problemu.</w:t>
            </w:r>
          </w:p>
          <w:p w14:paraId="44CDEBA3" w14:textId="32947D68" w:rsidR="0089704A" w:rsidRPr="0089704A" w:rsidRDefault="00022A6B" w:rsidP="0089704A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</w:t>
            </w:r>
            <w:r w:rsidR="0009283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rovjeravamo razumijevanje sluš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sljedećim pitanjima: </w:t>
            </w:r>
            <w:r w:rsidR="0089704A" w:rsidRP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Zašto Igor istražuje temu o problemima u prehrani? </w:t>
            </w:r>
            <w:r w:rsid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</w:t>
            </w:r>
            <w:r w:rsidR="0089704A" w:rsidRP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ako su na njega djelovale informacije koje je pročitao</w:t>
            </w:r>
            <w:r w:rsid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?</w:t>
            </w:r>
          </w:p>
          <w:p w14:paraId="61D192F0" w14:textId="3C9C4A70" w:rsidR="0089704A" w:rsidRPr="0089704A" w:rsidRDefault="0089704A" w:rsidP="0089704A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Usporedi odnose među članovima Igorove i Emine obitelji. Kako odnosi u obitelji utječu na Emin, a kako na </w:t>
            </w:r>
            <w:proofErr w:type="spellStart"/>
            <w:r w:rsidRP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Elin</w:t>
            </w:r>
            <w:proofErr w:type="spellEnd"/>
            <w:r w:rsidRP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problem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s prehranom? </w:t>
            </w:r>
            <w:r w:rsidRP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Zašto je Ema navečer dočekala Igorovu obitelj na ulazu u stan?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Kako je u tome trenutku izgledala?</w:t>
            </w:r>
            <w:r w:rsidRP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  <w:p w14:paraId="30088300" w14:textId="4E93DEFF" w:rsidR="0089704A" w:rsidRPr="0089704A" w:rsidRDefault="0089704A" w:rsidP="0089704A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Što je potaknulo Igora da s majkom razgovara o Eminu problemu? Zašto majka nije bila iznenađena kad je Igor tražio riječi kojima bi iznio Emin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problem?</w:t>
            </w:r>
            <w:r w:rsidRP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Koji je savjet majka dala Igoru? Tko najviše može pomoći Emi? Objasni misao Igorove majke: Biti mama često nije lako. Danas nije lako biti ni dijete. </w:t>
            </w:r>
          </w:p>
          <w:p w14:paraId="478AE2C5" w14:textId="00DC595D" w:rsidR="00022A6B" w:rsidRPr="007C2947" w:rsidRDefault="00022A6B" w:rsidP="007C2947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</w:t>
            </w:r>
            <w:r w:rsidR="007C294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zaključe </w:t>
            </w:r>
            <w:r w:rsidR="0089704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kako je Igor dobro postupio povjerivši majci Emin problem te kako je poremećaj od kojega Ema pati ozbiljna prijetnja njezinu zdravlju.</w:t>
            </w:r>
          </w:p>
          <w:p w14:paraId="3060F9A9" w14:textId="7F270557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učenici </w:t>
            </w:r>
            <w:r w:rsidR="0089704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izdvajaju rečenice kojima pisac predočava Emin izgled te imenuju stilska izražajna sredstva koja pridonose slikovitosti opisivanja. Navode Igorove, Emine i majčine osobine koje pripadaju psihološkoj karakterizaciji lika. Izdvajaju rečenice iz ulomka u kojima je sažeta ideja.</w:t>
            </w:r>
          </w:p>
          <w:p w14:paraId="1F6ADDAF" w14:textId="77777777" w:rsidR="0089704A" w:rsidRPr="0089704A" w:rsidRDefault="007C2947" w:rsidP="0089704A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učenici povezuju temu ulomka sa svojim iskustvom odgovarajući na pitanja: </w:t>
            </w:r>
            <w:r w:rsidR="0089704A" w:rsidRP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Što bi ti učinio da ti prijatelj povjeri ozbiljnu tajnu poput Emine? Komu bi se obratio za pomoć? </w:t>
            </w:r>
          </w:p>
          <w:p w14:paraId="7B65799D" w14:textId="6BCA114B" w:rsidR="00FA42C7" w:rsidRPr="006376ED" w:rsidRDefault="0089704A" w:rsidP="007C2947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Majčin savjet Igoru glasio je: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„</w:t>
            </w:r>
            <w:r w:rsidRP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Samo joj budi dobar prijatelj.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“</w:t>
            </w:r>
            <w:r w:rsidRPr="0089704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Što bi Igor kao Emin dobar prijatelj mogao još učiniti za nju?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FB0346F" w14:textId="42065FCF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3C333AEA" w:rsidR="007104B0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467F462" w14:textId="7317111D" w:rsidR="0089704A" w:rsidRDefault="0089704A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6F88A9B" w14:textId="77777777" w:rsidR="0089704A" w:rsidRPr="002215C8" w:rsidRDefault="0089704A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2D5691" w14:textId="7190A4BB" w:rsidR="002215C8" w:rsidRPr="0089704A" w:rsidRDefault="002215C8" w:rsidP="008970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65451C" w14:textId="2886B2F3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28BCE59" w14:textId="77777777" w:rsidR="0089704A" w:rsidRDefault="0089704A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130CC7E" w14:textId="49938A73" w:rsidR="009B1564" w:rsidRPr="0089704A" w:rsidRDefault="009B1564" w:rsidP="008970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D772DDE" w14:textId="4E219816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550C8FA5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DEF9491" w14:textId="4B236088" w:rsidR="0089704A" w:rsidRDefault="0089704A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73B23CA" w14:textId="22D8C2D1" w:rsidR="0089704A" w:rsidRDefault="0089704A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0B69BDF" w14:textId="77777777" w:rsidR="0089704A" w:rsidRDefault="0089704A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90C87F" w14:textId="77777777" w:rsidR="002263F2" w:rsidRDefault="003A1F68" w:rsidP="00BA172A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</w:t>
            </w:r>
            <w:r w:rsidR="003C10D9">
              <w:rPr>
                <w:rFonts w:ascii="Candara" w:hAnsi="Candara"/>
                <w:color w:val="000000"/>
                <w:sz w:val="22"/>
                <w:szCs w:val="22"/>
              </w:rPr>
              <w:t xml:space="preserve">sata učenici mogu zaigrati </w:t>
            </w:r>
            <w:r w:rsidR="00BA172A">
              <w:rPr>
                <w:rFonts w:ascii="Candara" w:hAnsi="Candara"/>
                <w:color w:val="000000"/>
                <w:sz w:val="22"/>
                <w:szCs w:val="22"/>
              </w:rPr>
              <w:t xml:space="preserve">neku od igara kojom će provjeriti kako su razumjeli književni ulomak </w:t>
            </w:r>
            <w:r w:rsidR="005C1FFA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BA172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5C1FF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C1FFA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5C1FF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  <w:p w14:paraId="7714D070" w14:textId="738EBA5F" w:rsidR="00F028CD" w:rsidRPr="005C1FFA" w:rsidRDefault="00F028CD" w:rsidP="00BA172A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8D62C7" w14:textId="60206C7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D8A0A1" w14:textId="77777777" w:rsidR="003C10D9" w:rsidRDefault="00BA172A" w:rsidP="00BA172A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Pogledaj epizodu o anoreksiji i bulimiji, a zatim pročitaj zadatak i riješi ga u bilježnicu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drugi dio,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Pokušaj i ti!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  <w:p w14:paraId="2AC36AFC" w14:textId="5E687EE3" w:rsidR="00F028CD" w:rsidRPr="006376ED" w:rsidRDefault="00F028CD" w:rsidP="00BA172A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EB30372" w:rsidR="00022A6B" w:rsidRPr="00BA172A" w:rsidRDefault="00BA172A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A17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rješava zadatke u digitalnome udžbeniku</w:t>
            </w: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67E08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4C286441" w14:textId="77777777" w:rsidR="002263F2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  <w:p w14:paraId="71824382" w14:textId="3498274C" w:rsidR="00BA172A" w:rsidRPr="006376ED" w:rsidRDefault="00BA172A" w:rsidP="00BC608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6055D2AC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4678C9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bookmarkStart w:id="0" w:name="_GoBack"/>
            <w:bookmarkEnd w:id="0"/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301DFD31" w:rsidR="00E937E9" w:rsidRPr="006376ED" w:rsidRDefault="00DC3C6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F519F3">
              <w:rPr>
                <w:rFonts w:ascii="Candara" w:hAnsi="Candara" w:cs="Open Sans"/>
                <w:b w:val="0"/>
                <w:sz w:val="22"/>
                <w:szCs w:val="22"/>
              </w:rPr>
              <w:t>učenički radovi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24B18FD5" w:rsidR="00022A6B" w:rsidRPr="00E4510B" w:rsidRDefault="00BA172A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F519F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Sonja </w:t>
            </w:r>
            <w:proofErr w:type="spellStart"/>
            <w:r w:rsidRPr="00F519F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Smolec</w:t>
            </w:r>
            <w:proofErr w:type="spellEnd"/>
            <w:r w:rsidR="00C657D1" w:rsidRPr="00F519F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F519F3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Samo joj budi prijatelj</w:t>
            </w:r>
          </w:p>
          <w:p w14:paraId="1B990F03" w14:textId="77777777" w:rsidR="00022A6B" w:rsidRPr="00022A6B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F7B103C" w14:textId="318458EC" w:rsidR="0056494B" w:rsidRPr="0056494B" w:rsidRDefault="0056494B" w:rsidP="0056494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ulomak iz romana</w:t>
            </w:r>
            <w:r w:rsidR="00864ED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BA172A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Prva klupa do prozora</w:t>
            </w:r>
          </w:p>
          <w:p w14:paraId="41680358" w14:textId="7399436D" w:rsidR="00022A6B" w:rsidRPr="0056494B" w:rsidRDefault="00022A6B" w:rsidP="00BA172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sz w:val="22"/>
                <w:szCs w:val="22"/>
                <w:lang w:eastAsia="en-US"/>
              </w:rPr>
              <w:t>Tema</w:t>
            </w:r>
            <w:r w:rsidRPr="00022A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BA172A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 w:rsidR="00BA17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Igorovo suočavanje sa spoznajom da njegova prijateljica Ema boluje od poremećaja u prehrani.</w:t>
            </w:r>
          </w:p>
          <w:p w14:paraId="560E0963" w14:textId="182B2758" w:rsidR="00022A6B" w:rsidRPr="00C806D6" w:rsidRDefault="0056494B" w:rsidP="0056494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76" w:hanging="22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Likovi</w:t>
            </w:r>
            <w:r w:rsidR="00022A6B" w:rsidRPr="00C806D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14:paraId="0DDCB0D6" w14:textId="559145E6" w:rsidR="00BA172A" w:rsidRDefault="00BA172A" w:rsidP="00BA172A">
            <w:pPr>
              <w:spacing w:line="276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Ema – nova učenica u Igorovu razredu</w:t>
            </w:r>
          </w:p>
          <w:p w14:paraId="4133719B" w14:textId="375BDEFD" w:rsidR="00BA172A" w:rsidRDefault="00BA172A" w:rsidP="00BA172A">
            <w:pPr>
              <w:spacing w:line="276" w:lineRule="auto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… stajala je Ema i drhturila, iako je bila dobro odjevena;</w:t>
            </w:r>
          </w:p>
          <w:p w14:paraId="5A866E9E" w14:textId="6215B1BB" w:rsidR="00BA172A" w:rsidRDefault="00BA172A" w:rsidP="00BA172A">
            <w:pPr>
              <w:spacing w:line="276" w:lineRule="auto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… ja sam ugledao Emino blijedo lice i natečene crvene oči.</w:t>
            </w:r>
          </w:p>
          <w:p w14:paraId="75504F63" w14:textId="0B1FA632" w:rsidR="00BA172A" w:rsidRDefault="00BA172A" w:rsidP="00BA172A">
            <w:pPr>
              <w:spacing w:line="276" w:lineRule="auto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en-US"/>
              </w:rPr>
              <w:t>↓</w:t>
            </w:r>
          </w:p>
          <w:p w14:paraId="583780EA" w14:textId="131D6878" w:rsidR="00BA172A" w:rsidRDefault="00BA172A" w:rsidP="00BA172A">
            <w:pPr>
              <w:spacing w:line="276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Slikovitom opisu Emina izgleda pridonose stilska izražajna sredstva (suprotnost, epiteti).</w:t>
            </w:r>
          </w:p>
          <w:p w14:paraId="6A3D8C0C" w14:textId="6D652AA4" w:rsidR="00BA172A" w:rsidRPr="00BA172A" w:rsidRDefault="00BA172A" w:rsidP="00BA172A">
            <w:pPr>
              <w:spacing w:line="276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1CC1D" wp14:editId="0EDBB7B6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189865</wp:posOffset>
                      </wp:positionV>
                      <wp:extent cx="121920" cy="586740"/>
                      <wp:effectExtent l="0" t="0" r="11430" b="22860"/>
                      <wp:wrapNone/>
                      <wp:docPr id="1" name="Desna vitičasta zagrad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5867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60041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1" o:spid="_x0000_s1026" type="#_x0000_t88" style="position:absolute;margin-left:225.35pt;margin-top:14.95pt;width:9.6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" adj="374" strokecolor="#4579b8 [3044]"/>
                  </w:pict>
                </mc:Fallback>
              </mc:AlternateContent>
            </w:r>
          </w:p>
          <w:p w14:paraId="309401EB" w14:textId="020AB70C" w:rsidR="00BA172A" w:rsidRDefault="0056494B" w:rsidP="0060207D">
            <w:pPr>
              <w:spacing w:line="276" w:lineRule="auto"/>
              <w:ind w:left="135" w:right="-159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</w:t>
            </w:r>
            <w:r w:rsidR="00BA17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Igor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–</w:t>
            </w:r>
            <w:r w:rsidR="00BA17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zabrinut za situaciju u kojoj se našla Ema        navedene osobine pripadaju</w:t>
            </w:r>
          </w:p>
          <w:p w14:paraId="57E05F2F" w14:textId="1224994D" w:rsidR="00BA172A" w:rsidRDefault="00BA172A" w:rsidP="0060207D">
            <w:pPr>
              <w:spacing w:line="276" w:lineRule="auto"/>
              <w:ind w:left="135" w:right="-159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pažljiv i suosjećajan                                                psihološkoj karakterizaciji</w:t>
            </w:r>
          </w:p>
          <w:p w14:paraId="7A7F1360" w14:textId="16560F19" w:rsidR="00BA172A" w:rsidRDefault="00BA172A" w:rsidP="0060207D">
            <w:pPr>
              <w:spacing w:line="276" w:lineRule="auto"/>
              <w:ind w:left="135" w:right="-159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spreman pomoći                                                     lika</w:t>
            </w:r>
          </w:p>
          <w:p w14:paraId="74C09B2F" w14:textId="77777777" w:rsidR="00BA172A" w:rsidRDefault="00BA172A" w:rsidP="00BA172A">
            <w:pPr>
              <w:spacing w:line="276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479C4E9" w14:textId="0D23604B" w:rsidR="005C1FFA" w:rsidRPr="0060207D" w:rsidRDefault="0060207D" w:rsidP="0060207D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76" w:hanging="218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Ideja ulomka sažeta je u rečenicama:</w:t>
            </w:r>
          </w:p>
          <w:p w14:paraId="34FCBEB7" w14:textId="77777777" w:rsidR="009B1564" w:rsidRDefault="0060207D" w:rsidP="0060207D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Stvari nisu tako jednostavne u svijetu odraslih.</w:t>
            </w:r>
          </w:p>
          <w:p w14:paraId="3570579A" w14:textId="77777777" w:rsidR="0060207D" w:rsidRDefault="0060207D" w:rsidP="0060207D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Samo joj budi dobar prijatelj.</w:t>
            </w:r>
          </w:p>
          <w:p w14:paraId="36D40961" w14:textId="77777777" w:rsidR="0060207D" w:rsidRDefault="0060207D" w:rsidP="0060207D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Biti mama često nije lako. Danas nije lako biti ni dijete.</w:t>
            </w:r>
          </w:p>
          <w:p w14:paraId="7D5C7DA9" w14:textId="1AFB540C" w:rsidR="0060207D" w:rsidRPr="0060207D" w:rsidRDefault="0060207D" w:rsidP="0060207D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327EBA11" w:rsidR="00E937E9" w:rsidRPr="006376ED" w:rsidRDefault="00E937E9" w:rsidP="00C657D1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C657D1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E7269B" w14:textId="77777777" w:rsidR="00DC3C66" w:rsidRDefault="0060207D" w:rsidP="009B1564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Emisija o anoreksiji i bulimiji:</w:t>
            </w:r>
          </w:p>
          <w:p w14:paraId="50CFB49C" w14:textId="57F67ECA" w:rsidR="0060207D" w:rsidRDefault="004678C9" w:rsidP="009B1564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8" w:history="1">
              <w:r w:rsidR="0060207D" w:rsidRPr="00286E43">
                <w:rPr>
                  <w:rStyle w:val="Hyperlink"/>
                  <w:rFonts w:ascii="Candara" w:hAnsi="Candara"/>
                  <w:sz w:val="22"/>
                  <w:szCs w:val="22"/>
                </w:rPr>
                <w:t>https://skolski.hrt.hr/emisije/596/anoreksija-i-bulimija</w:t>
              </w:r>
            </w:hyperlink>
          </w:p>
          <w:p w14:paraId="703FE1D8" w14:textId="56172412" w:rsidR="0060207D" w:rsidRPr="00DC3C66" w:rsidRDefault="0060207D" w:rsidP="009B1564">
            <w:pPr>
              <w:rPr>
                <w:rFonts w:ascii="Candara" w:hAnsi="Candara"/>
                <w:b w:val="0"/>
                <w:sz w:val="16"/>
                <w:szCs w:val="16"/>
              </w:rPr>
            </w:pP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1C5937" w14:textId="349B81F0" w:rsidR="0060207D" w:rsidRDefault="0060207D" w:rsidP="00FA42C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>Zdravlje:</w:t>
            </w:r>
          </w:p>
          <w:p w14:paraId="4CD4A03D" w14:textId="1A8D15AD" w:rsidR="0060207D" w:rsidRPr="0060207D" w:rsidRDefault="0060207D" w:rsidP="00FA42C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zdr</w:t>
            </w:r>
            <w:proofErr w:type="spellEnd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0207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A.3.2.A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Opisuje pravilnu prehranu i prepoznaje neprimjerenost redukcijske dijete za dob i razvoj</w:t>
            </w:r>
          </w:p>
          <w:p w14:paraId="2F5FB2E7" w14:textId="71A5C250" w:rsidR="00FA42C7" w:rsidRPr="003D5D71" w:rsidRDefault="00FA42C7" w:rsidP="00FA42C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055F0763" w14:textId="77777777" w:rsidR="00FA42C7" w:rsidRDefault="00FA42C7" w:rsidP="00FA42C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Razvija sliku o sebi: povezuje društvene norme i prihvaćenost.</w:t>
            </w:r>
          </w:p>
          <w:p w14:paraId="3F1D3BD7" w14:textId="29AB0EAC" w:rsidR="003C4933" w:rsidRPr="006376ED" w:rsidRDefault="00FA42C7" w:rsidP="00FA42C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potencijale: uviđa što želi unaprijediti u svome ponašanju.</w:t>
            </w:r>
          </w:p>
        </w:tc>
      </w:tr>
    </w:tbl>
    <w:p w14:paraId="1F48C823" w14:textId="4238F810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09870BBC" w14:textId="77777777" w:rsidR="00F519F3" w:rsidRDefault="00F519F3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1CD9D0FD" w14:textId="77777777" w:rsidR="00F519F3" w:rsidRDefault="00F519F3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6B333B65" w14:textId="77777777" w:rsidR="00F519F3" w:rsidRDefault="00F519F3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277A8874" w14:textId="77777777" w:rsidR="00F519F3" w:rsidRDefault="00F519F3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22D1A03C" w14:textId="77777777" w:rsidR="00F519F3" w:rsidRDefault="00F519F3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5EFCEC52" w14:textId="77777777" w:rsidR="00F519F3" w:rsidRDefault="00F519F3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2802ED6B" w14:textId="77777777" w:rsidR="00F519F3" w:rsidRDefault="00F519F3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F519F3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1323A" w14:textId="77777777" w:rsidR="00E43F45" w:rsidRDefault="00E43F45" w:rsidP="00EA1CD5">
      <w:r>
        <w:separator/>
      </w:r>
    </w:p>
  </w:endnote>
  <w:endnote w:type="continuationSeparator" w:id="0">
    <w:p w14:paraId="73B5AF42" w14:textId="77777777" w:rsidR="00E43F45" w:rsidRDefault="00E43F45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1FBBB" w14:textId="77777777" w:rsidR="00E43F45" w:rsidRDefault="00E43F45" w:rsidP="00EA1CD5">
      <w:r>
        <w:separator/>
      </w:r>
    </w:p>
  </w:footnote>
  <w:footnote w:type="continuationSeparator" w:id="0">
    <w:p w14:paraId="6C103E89" w14:textId="77777777" w:rsidR="00E43F45" w:rsidRDefault="00E43F45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CD6FE" w14:textId="5069E236" w:rsidR="0060207D" w:rsidRPr="0060207D" w:rsidRDefault="0060207D">
    <w:pPr>
      <w:pStyle w:val="Header"/>
      <w:rPr>
        <w:color w:val="FFFFFF" w:themeColor="background1"/>
      </w:rPr>
    </w:pPr>
    <w:r w:rsidRPr="0060207D">
      <w:rPr>
        <w:color w:val="FFFFFF" w:themeColor="background1"/>
      </w:rPr>
      <w:t>=</w:t>
    </w:r>
  </w:p>
  <w:p w14:paraId="6B04DC24" w14:textId="77777777" w:rsidR="0060207D" w:rsidRDefault="006020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C3265"/>
    <w:multiLevelType w:val="hybridMultilevel"/>
    <w:tmpl w:val="086C4FE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E4894"/>
    <w:multiLevelType w:val="multilevel"/>
    <w:tmpl w:val="34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AB19E1"/>
    <w:multiLevelType w:val="hybridMultilevel"/>
    <w:tmpl w:val="EBF4A6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8C60B7"/>
    <w:multiLevelType w:val="multilevel"/>
    <w:tmpl w:val="45D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7B75AB"/>
    <w:multiLevelType w:val="hybridMultilevel"/>
    <w:tmpl w:val="BDB20CEE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24A9B"/>
    <w:rsid w:val="00061CE5"/>
    <w:rsid w:val="00067D06"/>
    <w:rsid w:val="0009283C"/>
    <w:rsid w:val="000B464C"/>
    <w:rsid w:val="00110BA0"/>
    <w:rsid w:val="00122625"/>
    <w:rsid w:val="001464C0"/>
    <w:rsid w:val="001535B7"/>
    <w:rsid w:val="00166686"/>
    <w:rsid w:val="00184697"/>
    <w:rsid w:val="00184981"/>
    <w:rsid w:val="00184C1B"/>
    <w:rsid w:val="00195960"/>
    <w:rsid w:val="001A1A87"/>
    <w:rsid w:val="001A5470"/>
    <w:rsid w:val="001B525B"/>
    <w:rsid w:val="001C1C3E"/>
    <w:rsid w:val="001E1F25"/>
    <w:rsid w:val="001F75CA"/>
    <w:rsid w:val="00214CDC"/>
    <w:rsid w:val="002215C8"/>
    <w:rsid w:val="002263F2"/>
    <w:rsid w:val="00242EDB"/>
    <w:rsid w:val="002912B5"/>
    <w:rsid w:val="002A4AA2"/>
    <w:rsid w:val="002B5916"/>
    <w:rsid w:val="002D4520"/>
    <w:rsid w:val="002E4A73"/>
    <w:rsid w:val="003247E4"/>
    <w:rsid w:val="0037250C"/>
    <w:rsid w:val="00387C80"/>
    <w:rsid w:val="00390358"/>
    <w:rsid w:val="00391F9D"/>
    <w:rsid w:val="003A033F"/>
    <w:rsid w:val="003A1F68"/>
    <w:rsid w:val="003A79EC"/>
    <w:rsid w:val="003B5F67"/>
    <w:rsid w:val="003B6991"/>
    <w:rsid w:val="003C10D9"/>
    <w:rsid w:val="003C4933"/>
    <w:rsid w:val="003D042D"/>
    <w:rsid w:val="003D093A"/>
    <w:rsid w:val="003F24FC"/>
    <w:rsid w:val="00417898"/>
    <w:rsid w:val="004218ED"/>
    <w:rsid w:val="0043369B"/>
    <w:rsid w:val="004678C9"/>
    <w:rsid w:val="00474616"/>
    <w:rsid w:val="00481245"/>
    <w:rsid w:val="00484966"/>
    <w:rsid w:val="00487538"/>
    <w:rsid w:val="004A7DC2"/>
    <w:rsid w:val="00505414"/>
    <w:rsid w:val="005121F9"/>
    <w:rsid w:val="00513977"/>
    <w:rsid w:val="00524738"/>
    <w:rsid w:val="0056051E"/>
    <w:rsid w:val="00564850"/>
    <w:rsid w:val="0056494B"/>
    <w:rsid w:val="00572133"/>
    <w:rsid w:val="00573711"/>
    <w:rsid w:val="005C1FFA"/>
    <w:rsid w:val="005F23CD"/>
    <w:rsid w:val="005F6F42"/>
    <w:rsid w:val="005F7F7C"/>
    <w:rsid w:val="0060207D"/>
    <w:rsid w:val="006133E1"/>
    <w:rsid w:val="00622CAE"/>
    <w:rsid w:val="006376ED"/>
    <w:rsid w:val="00690479"/>
    <w:rsid w:val="00694AE6"/>
    <w:rsid w:val="006A29F4"/>
    <w:rsid w:val="006E50B6"/>
    <w:rsid w:val="006E610A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C2947"/>
    <w:rsid w:val="007C3CF4"/>
    <w:rsid w:val="007D42C0"/>
    <w:rsid w:val="007E780C"/>
    <w:rsid w:val="00800ADA"/>
    <w:rsid w:val="008430C7"/>
    <w:rsid w:val="00843916"/>
    <w:rsid w:val="008561F4"/>
    <w:rsid w:val="00864ED2"/>
    <w:rsid w:val="00892154"/>
    <w:rsid w:val="00892BA6"/>
    <w:rsid w:val="008949D4"/>
    <w:rsid w:val="0089704A"/>
    <w:rsid w:val="008B4556"/>
    <w:rsid w:val="008C6657"/>
    <w:rsid w:val="008D7614"/>
    <w:rsid w:val="008F648F"/>
    <w:rsid w:val="00903FD9"/>
    <w:rsid w:val="00945987"/>
    <w:rsid w:val="00995B0A"/>
    <w:rsid w:val="009A5E40"/>
    <w:rsid w:val="009B1564"/>
    <w:rsid w:val="009B7C5B"/>
    <w:rsid w:val="009D0BB6"/>
    <w:rsid w:val="009D7E6B"/>
    <w:rsid w:val="009E7628"/>
    <w:rsid w:val="009F4424"/>
    <w:rsid w:val="00A776F0"/>
    <w:rsid w:val="00A82375"/>
    <w:rsid w:val="00AC3559"/>
    <w:rsid w:val="00AF0479"/>
    <w:rsid w:val="00B0237E"/>
    <w:rsid w:val="00B456A0"/>
    <w:rsid w:val="00B50701"/>
    <w:rsid w:val="00B75805"/>
    <w:rsid w:val="00B9281B"/>
    <w:rsid w:val="00BA172A"/>
    <w:rsid w:val="00BA7946"/>
    <w:rsid w:val="00BB2FF4"/>
    <w:rsid w:val="00BB4F25"/>
    <w:rsid w:val="00BC6081"/>
    <w:rsid w:val="00BE5399"/>
    <w:rsid w:val="00C16058"/>
    <w:rsid w:val="00C402FB"/>
    <w:rsid w:val="00C4038F"/>
    <w:rsid w:val="00C40D41"/>
    <w:rsid w:val="00C42C4F"/>
    <w:rsid w:val="00C5217D"/>
    <w:rsid w:val="00C657D1"/>
    <w:rsid w:val="00C806D6"/>
    <w:rsid w:val="00CA630C"/>
    <w:rsid w:val="00CD062E"/>
    <w:rsid w:val="00CE616E"/>
    <w:rsid w:val="00CF1A1A"/>
    <w:rsid w:val="00D1651B"/>
    <w:rsid w:val="00D32541"/>
    <w:rsid w:val="00D872A7"/>
    <w:rsid w:val="00D96009"/>
    <w:rsid w:val="00D96934"/>
    <w:rsid w:val="00DC3C66"/>
    <w:rsid w:val="00E061D3"/>
    <w:rsid w:val="00E17685"/>
    <w:rsid w:val="00E406C1"/>
    <w:rsid w:val="00E43F45"/>
    <w:rsid w:val="00E4439D"/>
    <w:rsid w:val="00E4510B"/>
    <w:rsid w:val="00E84F24"/>
    <w:rsid w:val="00E937E9"/>
    <w:rsid w:val="00EA1CD5"/>
    <w:rsid w:val="00EA3E12"/>
    <w:rsid w:val="00F028CD"/>
    <w:rsid w:val="00F07933"/>
    <w:rsid w:val="00F339DB"/>
    <w:rsid w:val="00F519F3"/>
    <w:rsid w:val="00F57091"/>
    <w:rsid w:val="00F67C9C"/>
    <w:rsid w:val="00F758F1"/>
    <w:rsid w:val="00F965A7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ski.hrt.hr/emisije/596/anoreksija-i-bulimi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C41D3-417F-49D3-9FD2-8044FBB5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25</cp:revision>
  <dcterms:created xsi:type="dcterms:W3CDTF">2019-06-30T13:00:00Z</dcterms:created>
  <dcterms:modified xsi:type="dcterms:W3CDTF">2020-07-02T20:11:00Z</dcterms:modified>
</cp:coreProperties>
</file>